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625"/>
        <w:gridCol w:w="8201"/>
        <w:gridCol w:w="1902"/>
      </w:tblGrid>
      <w:tr w:rsidR="007D761E" w14:paraId="20E11BB7" w14:textId="77777777" w:rsidTr="007D761E">
        <w:trPr>
          <w:trHeight w:val="490"/>
        </w:trPr>
        <w:tc>
          <w:tcPr>
            <w:tcW w:w="88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167964"/>
            <w:vAlign w:val="center"/>
          </w:tcPr>
          <w:p w14:paraId="3048BD1E" w14:textId="77777777" w:rsidR="007D761E" w:rsidRPr="001D1C89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1D1C89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ADR vs. Litigation</w:t>
            </w:r>
          </w:p>
        </w:tc>
        <w:tc>
          <w:tcPr>
            <w:tcW w:w="1902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/>
            </w:tcBorders>
            <w:shd w:val="clear" w:color="auto" w:fill="167964"/>
            <w:vAlign w:val="center"/>
          </w:tcPr>
          <w:p w14:paraId="718BF273" w14:textId="77777777" w:rsidR="007D761E" w:rsidRPr="00546347" w:rsidRDefault="007D761E" w:rsidP="007D761E">
            <w:pPr>
              <w:tabs>
                <w:tab w:val="left" w:pos="954"/>
              </w:tabs>
              <w:jc w:val="center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546347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7D761E" w14:paraId="5C5F26B6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6F111B8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1941C2AC" w14:textId="7806E207" w:rsidR="007D761E" w:rsidRP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7D761E">
              <w:rPr>
                <w:rFonts w:ascii="Lato Light" w:hAnsi="Lato Light"/>
                <w:b/>
                <w:bCs/>
                <w:color w:val="445469"/>
              </w:rPr>
              <w:t>Is a “winner take all” solution preferable to a compromise?</w:t>
            </w:r>
          </w:p>
          <w:p w14:paraId="0AD5F9A9" w14:textId="77777777" w:rsidR="007D761E" w:rsidRPr="00DC3CC6" w:rsidRDefault="007D761E" w:rsidP="007D761E">
            <w:pPr>
              <w:pStyle w:val="ListParagraph"/>
              <w:ind w:left="36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4DD76C36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6D6D70BD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95CFED1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A86495" w14:textId="45D54FE5" w:rsidR="007D761E" w:rsidRP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7D761E">
              <w:rPr>
                <w:rFonts w:ascii="Lato Light" w:hAnsi="Lato Light"/>
                <w:b/>
                <w:bCs/>
                <w:color w:val="445469"/>
              </w:rPr>
              <w:t>Is there likely to be a legal principle or precedent at stake?</w:t>
            </w:r>
          </w:p>
          <w:p w14:paraId="4A2754A3" w14:textId="77777777" w:rsidR="007D761E" w:rsidRPr="00D97B27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1E6C702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38A0479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A8AFAC6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60C337FF" w14:textId="77777777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Is it important to maintain control over the outcome?</w:t>
            </w:r>
            <w:r w:rsidRPr="00D97B27">
              <w:rPr>
                <w:rFonts w:ascii="Lato Light" w:hAnsi="Lato Light"/>
                <w:b/>
                <w:bCs/>
                <w:color w:val="445469"/>
              </w:rPr>
              <w:t xml:space="preserve"> </w:t>
            </w:r>
          </w:p>
          <w:p w14:paraId="3C482913" w14:textId="77777777" w:rsidR="007D761E" w:rsidRPr="00D97B27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</w:t>
            </w:r>
            <w:r>
              <w:rPr>
                <w:rFonts w:ascii="Lato Light" w:hAnsi="Lato Light"/>
                <w:i/>
                <w:iCs/>
                <w:color w:val="445469"/>
              </w:rPr>
              <w:t>, leave blank if maintaining control over the outcome isn’t high-importance for you.</w:t>
            </w:r>
          </w:p>
        </w:tc>
        <w:tc>
          <w:tcPr>
            <w:tcW w:w="1902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375C85E9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22DFE53F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0DA8514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301221" w14:textId="77777777" w:rsidR="007D761E" w:rsidRPr="00D97B27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 xml:space="preserve">Is speed/timing of a resolution important to you? </w:t>
            </w:r>
            <w:r w:rsidRPr="00F915B4">
              <w:rPr>
                <w:rFonts w:ascii="Lato Light" w:hAnsi="Lato Light"/>
                <w:color w:val="445469"/>
              </w:rPr>
              <w:t>Compare to the court docket in the most likely relevant jurisdiction(s).</w:t>
            </w:r>
          </w:p>
          <w:p w14:paraId="113448DE" w14:textId="77777777" w:rsidR="007D761E" w:rsidRPr="00556B64" w:rsidRDefault="007D761E" w:rsidP="007D761E">
            <w:pPr>
              <w:pStyle w:val="ListParagraph"/>
              <w:ind w:left="36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DDC2E10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1192407A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6A55AB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446521F1" w14:textId="77777777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 xml:space="preserve">Is there a legal precedent or interpretation needed that will impact more than the immediate dispute and parties? </w:t>
            </w:r>
            <w:r>
              <w:rPr>
                <w:rFonts w:ascii="Lato Light" w:hAnsi="Lato Light"/>
                <w:color w:val="445469"/>
              </w:rPr>
              <w:t>E.g. the interpretation of a relevant statute or regulation.</w:t>
            </w:r>
          </w:p>
          <w:p w14:paraId="76D3E375" w14:textId="77777777" w:rsidR="007D761E" w:rsidRPr="00F915B4" w:rsidRDefault="007D761E" w:rsidP="007D761E">
            <w:pPr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 w:rsidRPr="00F915B4">
              <w:rPr>
                <w:rFonts w:ascii="Lato Light" w:hAnsi="Lato Light"/>
                <w:i/>
                <w:iCs/>
                <w:color w:val="445469"/>
              </w:rPr>
              <w:t xml:space="preserve">Check if yes. </w:t>
            </w:r>
          </w:p>
        </w:tc>
        <w:tc>
          <w:tcPr>
            <w:tcW w:w="1902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39C9E63B" w14:textId="77777777" w:rsidR="007D761E" w:rsidRPr="00D97B27" w:rsidRDefault="007D761E" w:rsidP="007D761E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</w:p>
        </w:tc>
      </w:tr>
      <w:tr w:rsidR="007D761E" w14:paraId="56301F50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2C03009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FF8717" w14:textId="77777777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Are there commercial opportunities that could be included in an ADR solution that would not be part of a litigated outcome?</w:t>
            </w:r>
          </w:p>
          <w:p w14:paraId="12EE2B37" w14:textId="77777777" w:rsidR="007D761E" w:rsidRPr="00D97B27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5FC96C0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2772083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F2E188E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7670C6EA" w14:textId="77777777" w:rsidR="007D761E" w:rsidRPr="00F915B4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Is discovery important to the resolution of the dispute?</w:t>
            </w:r>
          </w:p>
          <w:p w14:paraId="5F8BFC36" w14:textId="77777777" w:rsidR="007D761E" w:rsidRPr="00D97B27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 xml:space="preserve">Check if </w:t>
            </w:r>
            <w:r>
              <w:rPr>
                <w:rFonts w:ascii="Lato Light" w:hAnsi="Lato Light"/>
                <w:i/>
                <w:iCs/>
                <w:color w:val="445469"/>
              </w:rPr>
              <w:t>yes, leave blank if discovery isn’t expected to be needed or it is not expected to take much time.</w:t>
            </w:r>
            <w:r w:rsidRPr="00D97B27">
              <w:rPr>
                <w:rFonts w:ascii="Lato Light" w:hAnsi="Lato Light"/>
                <w:b/>
                <w:bCs/>
                <w:color w:val="445469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1857918A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691BDDC3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F27496F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390D4E" w14:textId="77777777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Does one party need discovery processes more than the other?</w:t>
            </w:r>
          </w:p>
          <w:p w14:paraId="04C024FC" w14:textId="77777777" w:rsidR="007D761E" w:rsidRPr="00D97B27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</w:t>
            </w:r>
            <w:r>
              <w:rPr>
                <w:rFonts w:ascii="Lato Light" w:hAnsi="Lato Light"/>
                <w:i/>
                <w:iCs/>
                <w:color w:val="445469"/>
              </w:rPr>
              <w:t>.</w:t>
            </w:r>
          </w:p>
        </w:tc>
        <w:tc>
          <w:tcPr>
            <w:tcW w:w="1902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A577B23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17AD2C21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177FF1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3994354A" w14:textId="77777777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Is injunctive relief likely to be needed?</w:t>
            </w:r>
          </w:p>
          <w:p w14:paraId="05CD31BA" w14:textId="77777777" w:rsidR="007D761E" w:rsidRPr="00D97B27" w:rsidRDefault="007D761E" w:rsidP="007D761E">
            <w:pPr>
              <w:pStyle w:val="ListParagraph"/>
              <w:ind w:left="360"/>
              <w:rPr>
                <w:rFonts w:ascii="Lato Light" w:hAnsi="Lato Light"/>
                <w:i/>
                <w:i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2BF957E1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239D5895" w14:textId="77777777" w:rsidTr="007D761E">
        <w:trPr>
          <w:trHeight w:val="1584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982BC36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7B55BB" w14:textId="77777777" w:rsidR="007D761E" w:rsidRPr="00D97B27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 xml:space="preserve">Is a local court order, an arbitral award, or a mediated settlement likely to be enforceable in this dispute? </w:t>
            </w:r>
            <w:r>
              <w:rPr>
                <w:rFonts w:ascii="Lato Light" w:hAnsi="Lato Light"/>
                <w:color w:val="445469"/>
              </w:rPr>
              <w:t>Keep in mind New York Convention enforceability of arbitral awards and expanding the use of Singapore Convention on Mediation for mediated agreements?</w:t>
            </w:r>
          </w:p>
          <w:p w14:paraId="3194D946" w14:textId="77777777" w:rsidR="007D761E" w:rsidRPr="00D97B27" w:rsidRDefault="007D761E" w:rsidP="007D761E">
            <w:pPr>
              <w:pStyle w:val="ListParagraph"/>
              <w:ind w:left="360"/>
              <w:rPr>
                <w:rFonts w:ascii="Lato Light" w:hAnsi="Lato Light"/>
                <w:i/>
                <w:i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6603350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4CA9D95F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665C21C5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77887401" w14:textId="77777777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Would the opportunity to appeal be important in this dispute?</w:t>
            </w:r>
          </w:p>
          <w:p w14:paraId="48D74AB7" w14:textId="77777777" w:rsidR="007D761E" w:rsidRPr="00D97B27" w:rsidRDefault="007D761E" w:rsidP="007D761E">
            <w:pPr>
              <w:pStyle w:val="ListParagraph"/>
              <w:ind w:left="360"/>
              <w:rPr>
                <w:rFonts w:ascii="Lato Light" w:hAnsi="Lato Light"/>
                <w:i/>
                <w:i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065A2E2B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470DF202" w14:textId="77777777" w:rsidTr="007D761E">
        <w:trPr>
          <w:trHeight w:val="490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68E0E399" w14:textId="77777777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  <w:tc>
          <w:tcPr>
            <w:tcW w:w="820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thinThickLargeGap" w:sz="24" w:space="0" w:color="FFFFFF" w:themeColor="background1"/>
            </w:tcBorders>
            <w:vAlign w:val="center"/>
          </w:tcPr>
          <w:p w14:paraId="16885161" w14:textId="77777777" w:rsidR="007D761E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</w:p>
        </w:tc>
        <w:tc>
          <w:tcPr>
            <w:tcW w:w="1902" w:type="dxa"/>
            <w:tcBorders>
              <w:top w:val="single" w:sz="4" w:space="0" w:color="FFFFFF"/>
              <w:left w:val="thinThickLargeGap" w:sz="2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06A6C631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94DCF74" w14:textId="77777777" w:rsidTr="007D761E">
        <w:trPr>
          <w:trHeight w:val="490"/>
        </w:trPr>
        <w:tc>
          <w:tcPr>
            <w:tcW w:w="8826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167964"/>
            <w:vAlign w:val="center"/>
          </w:tcPr>
          <w:p w14:paraId="170CF040" w14:textId="224EF7B3" w:rsidR="007D761E" w:rsidRPr="007D761E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7D761E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lastRenderedPageBreak/>
              <w:t>ADR VS. Litigation (cont.)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167964"/>
            <w:vAlign w:val="center"/>
          </w:tcPr>
          <w:p w14:paraId="66698630" w14:textId="58B79CDB" w:rsidR="007D761E" w:rsidRPr="007D761E" w:rsidRDefault="007D761E" w:rsidP="007D761E">
            <w:pPr>
              <w:jc w:val="center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7D761E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7D761E" w14:paraId="5653043F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B0502BB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468504" w14:textId="77777777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 xml:space="preserve">If litigated, would there likely be claims included that offer a windfall to one party? </w:t>
            </w:r>
            <w:r>
              <w:rPr>
                <w:rFonts w:ascii="Lato Light" w:hAnsi="Lato Light"/>
                <w:color w:val="445469"/>
              </w:rPr>
              <w:t>E.g. punitive or treble damages.</w:t>
            </w:r>
          </w:p>
          <w:p w14:paraId="7E69D66C" w14:textId="77777777" w:rsidR="007D761E" w:rsidRPr="00546347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D53E3B2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34E7FC01" w14:textId="77777777" w:rsidTr="000D132A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thinThickLargeGap" w:sz="24" w:space="0" w:color="FFFFFF" w:themeColor="background1"/>
            </w:tcBorders>
            <w:shd w:val="clear" w:color="auto" w:fill="auto"/>
            <w:vAlign w:val="center"/>
          </w:tcPr>
          <w:p w14:paraId="5673E97F" w14:textId="6203DB7F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7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0"/>
          </w:p>
        </w:tc>
        <w:tc>
          <w:tcPr>
            <w:tcW w:w="8201" w:type="dxa"/>
            <w:tcBorders>
              <w:top w:val="single" w:sz="4" w:space="0" w:color="FFFFFF" w:themeColor="background1"/>
              <w:left w:val="thinThickLargeGap" w:sz="24" w:space="0" w:color="FFFFFF" w:themeColor="background1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D19C55" w14:textId="0721913B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6731A1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6BABD08B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188E316" w14:textId="020BF9A7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8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"/>
          </w:p>
        </w:tc>
        <w:tc>
          <w:tcPr>
            <w:tcW w:w="82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7C97BD" w14:textId="2DCD2E52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5D5F1D9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A9A1059" w14:textId="77777777" w:rsidTr="000D132A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thinThickLargeGap" w:sz="24" w:space="0" w:color="FFFFFF" w:themeColor="background1"/>
            </w:tcBorders>
            <w:shd w:val="clear" w:color="auto" w:fill="auto"/>
            <w:vAlign w:val="center"/>
          </w:tcPr>
          <w:p w14:paraId="3F915E8B" w14:textId="6F68A35C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9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2"/>
          </w:p>
        </w:tc>
        <w:tc>
          <w:tcPr>
            <w:tcW w:w="8201" w:type="dxa"/>
            <w:tcBorders>
              <w:top w:val="single" w:sz="4" w:space="0" w:color="FFFFFF" w:themeColor="background1"/>
              <w:left w:val="thinThickLargeGap" w:sz="24" w:space="0" w:color="FFFFFF" w:themeColor="background1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E4D71B" w14:textId="3376C7DF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1D1421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2749E32B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5A5D441" w14:textId="14645B68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3"/>
          </w:p>
        </w:tc>
        <w:tc>
          <w:tcPr>
            <w:tcW w:w="82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CC70D2" w14:textId="6EDE85CF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F10EC66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34C5A1CF" w14:textId="77777777" w:rsidTr="000D132A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thinThickLargeGap" w:sz="24" w:space="0" w:color="FFFFFF" w:themeColor="background1"/>
            </w:tcBorders>
            <w:shd w:val="clear" w:color="auto" w:fill="auto"/>
            <w:vAlign w:val="center"/>
          </w:tcPr>
          <w:p w14:paraId="2D415EB0" w14:textId="40CA3C56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4"/>
          </w:p>
        </w:tc>
        <w:tc>
          <w:tcPr>
            <w:tcW w:w="8201" w:type="dxa"/>
            <w:tcBorders>
              <w:top w:val="single" w:sz="4" w:space="0" w:color="FFFFFF" w:themeColor="background1"/>
              <w:left w:val="thinThickLargeGap" w:sz="24" w:space="0" w:color="FFFFFF" w:themeColor="background1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DA60AD" w14:textId="69C04132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BBA56A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B5636B1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15414AE" w14:textId="0C657F3A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5"/>
          </w:p>
        </w:tc>
        <w:tc>
          <w:tcPr>
            <w:tcW w:w="82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AA4C8D" w14:textId="0F9203B1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D478215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6E13113" w14:textId="77777777" w:rsidTr="000D132A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thinThickLargeGap" w:sz="24" w:space="0" w:color="FFFFFF" w:themeColor="background1"/>
            </w:tcBorders>
            <w:shd w:val="clear" w:color="auto" w:fill="auto"/>
            <w:vAlign w:val="center"/>
          </w:tcPr>
          <w:p w14:paraId="26DFCAE8" w14:textId="45ADB570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6"/>
          </w:p>
        </w:tc>
        <w:tc>
          <w:tcPr>
            <w:tcW w:w="8201" w:type="dxa"/>
            <w:tcBorders>
              <w:top w:val="single" w:sz="4" w:space="0" w:color="FFFFFF" w:themeColor="background1"/>
              <w:left w:val="thinThickLargeGap" w:sz="24" w:space="0" w:color="FFFFFF" w:themeColor="background1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77EDC3" w14:textId="6FA45FAF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E9369D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0F8DCB53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B16E6E5" w14:textId="6AF44ED6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7"/>
          </w:p>
        </w:tc>
        <w:tc>
          <w:tcPr>
            <w:tcW w:w="82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A4AD44" w14:textId="0FF7BA3B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097EDE1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7F506F1" w14:textId="77777777" w:rsidTr="000D132A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thinThickLargeGap" w:sz="24" w:space="0" w:color="FFFFFF" w:themeColor="background1"/>
            </w:tcBorders>
            <w:shd w:val="clear" w:color="auto" w:fill="auto"/>
            <w:vAlign w:val="center"/>
          </w:tcPr>
          <w:p w14:paraId="1FADC1C8" w14:textId="738F3743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5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8"/>
          </w:p>
        </w:tc>
        <w:tc>
          <w:tcPr>
            <w:tcW w:w="8201" w:type="dxa"/>
            <w:tcBorders>
              <w:top w:val="single" w:sz="4" w:space="0" w:color="FFFFFF" w:themeColor="background1"/>
              <w:left w:val="thinThickLargeGap" w:sz="24" w:space="0" w:color="FFFFFF" w:themeColor="background1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EFC622" w14:textId="2DB03470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90F432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06BE8A11" w14:textId="77777777" w:rsidTr="000D132A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2A8007A" w14:textId="38A9B924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6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996552">
              <w:rPr>
                <w:rFonts w:ascii="Lato Light" w:hAnsi="Lato Light"/>
                <w:color w:val="445469"/>
              </w:rPr>
            </w:r>
            <w:r w:rsidR="00996552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9"/>
          </w:p>
        </w:tc>
        <w:tc>
          <w:tcPr>
            <w:tcW w:w="82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274DD8" w14:textId="5BD87FB5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8E22552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0D132A" w14:paraId="720E9595" w14:textId="77777777" w:rsidTr="000D132A">
        <w:trPr>
          <w:trHeight w:val="1008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thinThickLargeGap" w:sz="24" w:space="0" w:color="FFFFFF" w:themeColor="background1"/>
            </w:tcBorders>
            <w:shd w:val="clear" w:color="auto" w:fill="auto"/>
            <w:vAlign w:val="center"/>
          </w:tcPr>
          <w:p w14:paraId="21106A39" w14:textId="2CCEC13F" w:rsidR="000D132A" w:rsidRDefault="000D132A" w:rsidP="000D132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7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0"/>
          </w:p>
        </w:tc>
        <w:tc>
          <w:tcPr>
            <w:tcW w:w="8201" w:type="dxa"/>
            <w:tcBorders>
              <w:top w:val="single" w:sz="4" w:space="0" w:color="FFFFFF" w:themeColor="background1"/>
              <w:left w:val="thinThickLargeGap" w:sz="24" w:space="0" w:color="FFFFFF" w:themeColor="background1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C7D431" w14:textId="556E63C7" w:rsidR="000D132A" w:rsidRDefault="000D132A" w:rsidP="000D132A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i/>
                <w:i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241A37" w14:textId="77777777" w:rsidR="000D132A" w:rsidRPr="00DC3CC6" w:rsidRDefault="000D132A" w:rsidP="000D132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</w:tbl>
    <w:p w14:paraId="39529025" w14:textId="77777777" w:rsidR="007D761E" w:rsidRPr="00DC3CC6" w:rsidRDefault="007D761E" w:rsidP="007D761E">
      <w:pPr>
        <w:rPr>
          <w:rFonts w:ascii="Lato Black" w:hAnsi="Lato Black"/>
          <w:b/>
          <w:bCs/>
          <w:color w:val="445469"/>
          <w:sz w:val="28"/>
          <w:szCs w:val="28"/>
          <w:u w:val="single"/>
        </w:rPr>
      </w:pPr>
    </w:p>
    <w:sectPr w:rsidR="007D761E" w:rsidRPr="00DC3CC6" w:rsidSect="00996552">
      <w:pgSz w:w="12240" w:h="15840"/>
      <w:pgMar w:top="720" w:right="720" w:bottom="720" w:left="720" w:header="720" w:footer="720" w:gutter="0"/>
      <w:pgBorders w:offsetFrom="page">
        <w:top w:val="thinThickLargeGap" w:sz="24" w:space="24" w:color="0F5142"/>
        <w:left w:val="thinThickLargeGap" w:sz="24" w:space="24" w:color="0F5142"/>
        <w:bottom w:val="thickThinLargeGap" w:sz="24" w:space="24" w:color="0F5142"/>
        <w:right w:val="thickThinLargeGap" w:sz="24" w:space="24" w:color="0F514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 Light">
    <w:altName w:val="Lato Light"/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 Black">
    <w:altName w:val="Lato Black"/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A532D"/>
    <w:multiLevelType w:val="hybridMultilevel"/>
    <w:tmpl w:val="D82490F0"/>
    <w:lvl w:ilvl="0" w:tplc="B962734E">
      <w:start w:val="2"/>
      <w:numFmt w:val="low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ACC10CE"/>
    <w:multiLevelType w:val="hybridMultilevel"/>
    <w:tmpl w:val="95764A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D47DA"/>
    <w:multiLevelType w:val="hybridMultilevel"/>
    <w:tmpl w:val="7542D436"/>
    <w:lvl w:ilvl="0" w:tplc="76AE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096F"/>
    <w:multiLevelType w:val="hybridMultilevel"/>
    <w:tmpl w:val="7CBE2662"/>
    <w:lvl w:ilvl="0" w:tplc="EDC0A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BA6C6668">
      <w:start w:val="1"/>
      <w:numFmt w:val="lowerRoman"/>
      <w:lvlText w:val="%3."/>
      <w:lvlJc w:val="right"/>
      <w:pPr>
        <w:ind w:left="90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971FF"/>
    <w:multiLevelType w:val="hybridMultilevel"/>
    <w:tmpl w:val="D5FA67D4"/>
    <w:lvl w:ilvl="0" w:tplc="CFA6CE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AE0EA4"/>
    <w:multiLevelType w:val="hybridMultilevel"/>
    <w:tmpl w:val="483CBCC6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B2BEE"/>
    <w:multiLevelType w:val="hybridMultilevel"/>
    <w:tmpl w:val="48901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868AE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535B0"/>
    <w:multiLevelType w:val="hybridMultilevel"/>
    <w:tmpl w:val="58EA9E02"/>
    <w:lvl w:ilvl="0" w:tplc="F48E9D8A">
      <w:start w:val="2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61525"/>
    <w:multiLevelType w:val="hybridMultilevel"/>
    <w:tmpl w:val="3024605A"/>
    <w:lvl w:ilvl="0" w:tplc="F7A2A4C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51A1F"/>
    <w:multiLevelType w:val="hybridMultilevel"/>
    <w:tmpl w:val="F5E87994"/>
    <w:lvl w:ilvl="0" w:tplc="B49421DA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A806071"/>
    <w:multiLevelType w:val="hybridMultilevel"/>
    <w:tmpl w:val="7376D1F0"/>
    <w:lvl w:ilvl="0" w:tplc="BB6CA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F5B95"/>
    <w:multiLevelType w:val="hybridMultilevel"/>
    <w:tmpl w:val="B4D4D772"/>
    <w:lvl w:ilvl="0" w:tplc="624C684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84762D3"/>
    <w:multiLevelType w:val="hybridMultilevel"/>
    <w:tmpl w:val="C8224956"/>
    <w:lvl w:ilvl="0" w:tplc="A87E7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42173"/>
    <w:multiLevelType w:val="hybridMultilevel"/>
    <w:tmpl w:val="8B560D30"/>
    <w:lvl w:ilvl="0" w:tplc="DDB2B230">
      <w:start w:val="2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C3DC3"/>
    <w:multiLevelType w:val="hybridMultilevel"/>
    <w:tmpl w:val="F148F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C4"/>
    <w:rsid w:val="000D132A"/>
    <w:rsid w:val="002407C5"/>
    <w:rsid w:val="0032687F"/>
    <w:rsid w:val="00426708"/>
    <w:rsid w:val="00436E6C"/>
    <w:rsid w:val="00546347"/>
    <w:rsid w:val="00556B64"/>
    <w:rsid w:val="0060633E"/>
    <w:rsid w:val="006277FA"/>
    <w:rsid w:val="00653D58"/>
    <w:rsid w:val="00707A63"/>
    <w:rsid w:val="007D761E"/>
    <w:rsid w:val="00891133"/>
    <w:rsid w:val="009017C4"/>
    <w:rsid w:val="00996552"/>
    <w:rsid w:val="00AC1364"/>
    <w:rsid w:val="00C1119C"/>
    <w:rsid w:val="00C7398A"/>
    <w:rsid w:val="00D97B27"/>
    <w:rsid w:val="00DC3CC6"/>
    <w:rsid w:val="00E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7D8B"/>
  <w15:chartTrackingRefBased/>
  <w15:docId w15:val="{393853E5-E856-F643-B0D0-EA06CD1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1DF4CD-A76A-A74F-9DC2-DFD71469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Kushner</dc:creator>
  <cp:keywords/>
  <dc:description/>
  <cp:lastModifiedBy>Amanda Kushner</cp:lastModifiedBy>
  <cp:revision>4</cp:revision>
  <dcterms:created xsi:type="dcterms:W3CDTF">2021-03-11T16:04:00Z</dcterms:created>
  <dcterms:modified xsi:type="dcterms:W3CDTF">2021-03-11T16:07:00Z</dcterms:modified>
</cp:coreProperties>
</file>